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533BA" w14:textId="4EDB2751" w:rsidR="00A95674" w:rsidRPr="00B07EFD" w:rsidRDefault="00A95674" w:rsidP="00A95674">
      <w:pPr>
        <w:jc w:val="center"/>
        <w:rPr>
          <w:rFonts w:asciiTheme="majorHAnsi" w:hAnsiTheme="majorHAnsi" w:cstheme="majorHAnsi"/>
          <w:sz w:val="24"/>
          <w:szCs w:val="24"/>
        </w:rPr>
      </w:pPr>
      <w:r w:rsidRPr="00B07EFD">
        <w:rPr>
          <w:rFonts w:asciiTheme="majorHAnsi" w:hAnsiTheme="majorHAnsi" w:cstheme="majorHAnsi"/>
          <w:sz w:val="24"/>
          <w:szCs w:val="24"/>
        </w:rPr>
        <w:t>Statement of Consideration (SOC)</w:t>
      </w:r>
    </w:p>
    <w:p w14:paraId="69E42907" w14:textId="51321998" w:rsidR="004A49AB" w:rsidRPr="00B07EFD" w:rsidRDefault="00A95674">
      <w:pPr>
        <w:rPr>
          <w:rFonts w:asciiTheme="majorHAnsi" w:hAnsiTheme="majorHAnsi" w:cstheme="majorHAnsi"/>
          <w:sz w:val="24"/>
          <w:szCs w:val="24"/>
        </w:rPr>
      </w:pPr>
      <w:proofErr w:type="gramStart"/>
      <w:r w:rsidRPr="00B07EFD">
        <w:rPr>
          <w:rFonts w:asciiTheme="majorHAnsi" w:hAnsiTheme="majorHAnsi" w:cstheme="majorHAnsi"/>
          <w:sz w:val="24"/>
          <w:szCs w:val="24"/>
        </w:rPr>
        <w:t>PPTL 20-</w:t>
      </w:r>
      <w:r w:rsidR="00704D33">
        <w:rPr>
          <w:rFonts w:asciiTheme="majorHAnsi" w:hAnsiTheme="majorHAnsi" w:cstheme="majorHAnsi"/>
          <w:sz w:val="24"/>
          <w:szCs w:val="24"/>
        </w:rPr>
        <w:t>38</w:t>
      </w:r>
      <w:r w:rsidR="008020CB" w:rsidRPr="00B07EFD">
        <w:rPr>
          <w:rFonts w:asciiTheme="majorHAnsi" w:hAnsiTheme="majorHAnsi" w:cstheme="majorHAnsi"/>
          <w:sz w:val="24"/>
          <w:szCs w:val="24"/>
        </w:rPr>
        <w:t xml:space="preserve"> </w:t>
      </w:r>
      <w:r w:rsidR="00FE3CA8" w:rsidRPr="00B07EFD">
        <w:rPr>
          <w:rFonts w:asciiTheme="majorHAnsi" w:hAnsiTheme="majorHAnsi" w:cstheme="majorHAnsi"/>
          <w:sz w:val="24"/>
          <w:szCs w:val="24"/>
        </w:rPr>
        <w:t>SOP</w:t>
      </w:r>
      <w:r w:rsidR="00331929" w:rsidRPr="00B07EFD">
        <w:rPr>
          <w:rFonts w:asciiTheme="majorHAnsi" w:hAnsiTheme="majorHAnsi" w:cstheme="majorHAnsi"/>
          <w:sz w:val="24"/>
          <w:szCs w:val="24"/>
        </w:rPr>
        <w:t xml:space="preserve"> </w:t>
      </w:r>
      <w:r w:rsidR="009F3579" w:rsidRPr="00B07EFD">
        <w:rPr>
          <w:rFonts w:asciiTheme="majorHAnsi" w:hAnsiTheme="majorHAnsi" w:cstheme="majorHAnsi"/>
          <w:sz w:val="24"/>
          <w:szCs w:val="24"/>
        </w:rPr>
        <w:t>4.51.1 Placement in a Congregate Care (Residential Treatment) Setting</w:t>
      </w:r>
      <w:r w:rsidR="00331929" w:rsidRPr="00B07EFD">
        <w:rPr>
          <w:rFonts w:asciiTheme="majorHAnsi" w:hAnsiTheme="majorHAnsi" w:cstheme="majorHAnsi"/>
          <w:sz w:val="24"/>
          <w:szCs w:val="24"/>
        </w:rPr>
        <w:t>.</w:t>
      </w:r>
      <w:proofErr w:type="gramEnd"/>
      <w:r w:rsidR="00331929" w:rsidRPr="00B07EFD">
        <w:rPr>
          <w:rFonts w:asciiTheme="majorHAnsi" w:hAnsiTheme="majorHAnsi" w:cstheme="majorHAnsi"/>
          <w:sz w:val="24"/>
          <w:szCs w:val="24"/>
        </w:rPr>
        <w:t xml:space="preserve">  </w:t>
      </w:r>
      <w:r w:rsidRPr="00B07EFD">
        <w:rPr>
          <w:rFonts w:asciiTheme="majorHAnsi" w:hAnsiTheme="majorHAnsi" w:cstheme="majorHAnsi"/>
          <w:sz w:val="24"/>
          <w:szCs w:val="24"/>
        </w:rPr>
        <w:t xml:space="preserve">The following comments </w:t>
      </w:r>
      <w:proofErr w:type="gramStart"/>
      <w:r w:rsidRPr="00B07EFD">
        <w:rPr>
          <w:rFonts w:asciiTheme="majorHAnsi" w:hAnsiTheme="majorHAnsi" w:cstheme="majorHAnsi"/>
          <w:sz w:val="24"/>
          <w:szCs w:val="24"/>
        </w:rPr>
        <w:t>were received</w:t>
      </w:r>
      <w:proofErr w:type="gramEnd"/>
      <w:r w:rsidRPr="00B07EFD">
        <w:rPr>
          <w:rFonts w:asciiTheme="majorHAnsi" w:hAnsiTheme="majorHAnsi" w:cstheme="majorHAnsi"/>
          <w:sz w:val="24"/>
          <w:szCs w:val="24"/>
        </w:rPr>
        <w:t xml:space="preserve"> in response to SOP drafts sent for field review.  Thanks to those who reviewed and commented.  Comments about typographical and grammatical errors </w:t>
      </w:r>
      <w:proofErr w:type="gramStart"/>
      <w:r w:rsidRPr="00B07EFD">
        <w:rPr>
          <w:rFonts w:asciiTheme="majorHAnsi" w:hAnsiTheme="majorHAnsi" w:cstheme="majorHAnsi"/>
          <w:sz w:val="24"/>
          <w:szCs w:val="24"/>
        </w:rPr>
        <w:t>are excluded</w:t>
      </w:r>
      <w:proofErr w:type="gramEnd"/>
      <w:r w:rsidRPr="00B07EFD">
        <w:rPr>
          <w:rFonts w:asciiTheme="majorHAnsi" w:hAnsiTheme="majorHAnsi" w:cstheme="majorHAnsi"/>
          <w:sz w:val="24"/>
          <w:szCs w:val="24"/>
        </w:rPr>
        <w:t>; these errors have been corrected as appropriate</w:t>
      </w:r>
    </w:p>
    <w:p w14:paraId="67606425" w14:textId="7A807E01" w:rsidR="00FF0720" w:rsidRPr="00B07EFD" w:rsidRDefault="007B5F03" w:rsidP="00FF0720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B07EFD">
        <w:rPr>
          <w:rFonts w:asciiTheme="majorHAnsi" w:hAnsiTheme="majorHAnsi" w:cstheme="majorHAnsi"/>
          <w:b/>
          <w:sz w:val="24"/>
          <w:szCs w:val="24"/>
          <w:u w:val="single"/>
        </w:rPr>
        <w:t xml:space="preserve">SOP </w:t>
      </w:r>
      <w:r w:rsidR="009F3579" w:rsidRPr="00B07EFD">
        <w:rPr>
          <w:rFonts w:asciiTheme="majorHAnsi" w:hAnsiTheme="majorHAnsi" w:cstheme="majorHAnsi"/>
          <w:b/>
          <w:sz w:val="24"/>
          <w:szCs w:val="24"/>
          <w:u w:val="single"/>
        </w:rPr>
        <w:t>4.51.1</w:t>
      </w:r>
    </w:p>
    <w:p w14:paraId="29349179" w14:textId="385AAC32" w:rsidR="00AF1B18" w:rsidRPr="00B07EFD" w:rsidRDefault="00A56E8E" w:rsidP="00AF1B18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Theme="majorHAnsi" w:hAnsiTheme="majorHAnsi" w:cstheme="majorHAnsi"/>
          <w:sz w:val="24"/>
          <w:szCs w:val="24"/>
        </w:rPr>
      </w:pPr>
      <w:r w:rsidRPr="00B07EFD">
        <w:rPr>
          <w:rFonts w:asciiTheme="majorHAnsi" w:hAnsiTheme="majorHAnsi" w:cstheme="majorHAnsi"/>
          <w:b/>
          <w:sz w:val="24"/>
          <w:szCs w:val="24"/>
        </w:rPr>
        <w:t>Comment</w:t>
      </w:r>
      <w:r w:rsidR="00E07F79" w:rsidRPr="00B07EFD">
        <w:rPr>
          <w:rFonts w:asciiTheme="majorHAnsi" w:hAnsiTheme="majorHAnsi" w:cstheme="majorHAnsi"/>
          <w:b/>
          <w:sz w:val="24"/>
          <w:szCs w:val="24"/>
        </w:rPr>
        <w:t>:</w:t>
      </w:r>
      <w:r w:rsidR="00E07F79" w:rsidRPr="00B07EFD">
        <w:rPr>
          <w:rFonts w:asciiTheme="majorHAnsi" w:hAnsiTheme="majorHAnsi" w:cstheme="majorHAnsi"/>
          <w:sz w:val="24"/>
          <w:szCs w:val="24"/>
        </w:rPr>
        <w:t xml:space="preserve"> </w:t>
      </w:r>
      <w:r w:rsidR="006C2AC9" w:rsidRPr="00B07EFD">
        <w:rPr>
          <w:rFonts w:asciiTheme="majorHAnsi" w:hAnsiTheme="majorHAnsi" w:cstheme="majorHAnsi"/>
          <w:sz w:val="24"/>
          <w:szCs w:val="24"/>
        </w:rPr>
        <w:t xml:space="preserve">  </w:t>
      </w:r>
      <w:r w:rsidR="00AF1B18" w:rsidRPr="00B07EFD">
        <w:rPr>
          <w:rFonts w:asciiTheme="majorHAnsi" w:hAnsiTheme="majorHAnsi" w:cstheme="majorHAnsi"/>
          <w:sz w:val="24"/>
          <w:szCs w:val="24"/>
        </w:rPr>
        <w:t xml:space="preserve">SOP needs to list that the QRTP court hearing </w:t>
      </w:r>
      <w:proofErr w:type="gramStart"/>
      <w:r w:rsidR="00AF1B18" w:rsidRPr="00B07EFD">
        <w:rPr>
          <w:rFonts w:asciiTheme="majorHAnsi" w:hAnsiTheme="majorHAnsi" w:cstheme="majorHAnsi"/>
          <w:sz w:val="24"/>
          <w:szCs w:val="24"/>
        </w:rPr>
        <w:t>must be completed</w:t>
      </w:r>
      <w:proofErr w:type="gramEnd"/>
      <w:r w:rsidR="00AF1B18" w:rsidRPr="00B07EFD">
        <w:rPr>
          <w:rFonts w:asciiTheme="majorHAnsi" w:hAnsiTheme="majorHAnsi" w:cstheme="majorHAnsi"/>
          <w:sz w:val="24"/>
          <w:szCs w:val="24"/>
        </w:rPr>
        <w:t xml:space="preserve"> on a DNA-16</w:t>
      </w:r>
      <w:r w:rsidR="00B07EFD" w:rsidRPr="00B07EFD">
        <w:rPr>
          <w:rFonts w:asciiTheme="majorHAnsi" w:hAnsiTheme="majorHAnsi" w:cstheme="majorHAnsi"/>
          <w:sz w:val="24"/>
          <w:szCs w:val="24"/>
        </w:rPr>
        <w:t xml:space="preserve">.  </w:t>
      </w:r>
      <w:r w:rsidR="00AF1B18" w:rsidRPr="00B07EFD">
        <w:rPr>
          <w:rFonts w:asciiTheme="majorHAnsi" w:hAnsiTheme="majorHAnsi" w:cstheme="majorHAnsi"/>
          <w:sz w:val="24"/>
          <w:szCs w:val="24"/>
        </w:rPr>
        <w:t>Several of our judges write on docket sheets</w:t>
      </w:r>
      <w:r w:rsidR="00B07EFD" w:rsidRPr="00B07EFD">
        <w:rPr>
          <w:rFonts w:asciiTheme="majorHAnsi" w:hAnsiTheme="majorHAnsi" w:cstheme="majorHAnsi"/>
          <w:sz w:val="24"/>
          <w:szCs w:val="24"/>
        </w:rPr>
        <w:t xml:space="preserve">.  </w:t>
      </w:r>
      <w:r w:rsidR="00AF1B18" w:rsidRPr="00B07EFD">
        <w:rPr>
          <w:rFonts w:asciiTheme="majorHAnsi" w:hAnsiTheme="majorHAnsi" w:cstheme="majorHAnsi"/>
          <w:sz w:val="24"/>
          <w:szCs w:val="24"/>
        </w:rPr>
        <w:t xml:space="preserve">In most </w:t>
      </w:r>
      <w:proofErr w:type="gramStart"/>
      <w:r w:rsidR="00AF1B18" w:rsidRPr="00B07EFD">
        <w:rPr>
          <w:rFonts w:asciiTheme="majorHAnsi" w:hAnsiTheme="majorHAnsi" w:cstheme="majorHAnsi"/>
          <w:sz w:val="24"/>
          <w:szCs w:val="24"/>
        </w:rPr>
        <w:t>counties</w:t>
      </w:r>
      <w:proofErr w:type="gramEnd"/>
      <w:r w:rsidR="00AF1B18" w:rsidRPr="00B07EFD">
        <w:rPr>
          <w:rFonts w:asciiTheme="majorHAnsi" w:hAnsiTheme="majorHAnsi" w:cstheme="majorHAnsi"/>
          <w:sz w:val="24"/>
          <w:szCs w:val="24"/>
        </w:rPr>
        <w:t xml:space="preserve"> our workers are responsible for knowing which AOC form needs to be completed. </w:t>
      </w:r>
    </w:p>
    <w:p w14:paraId="698827BA" w14:textId="77777777" w:rsidR="00AF1B18" w:rsidRPr="00B07EFD" w:rsidRDefault="00AF1B18" w:rsidP="00AF1B18">
      <w:pPr>
        <w:pStyle w:val="ListParagraph"/>
        <w:spacing w:before="100" w:beforeAutospacing="1" w:after="100" w:afterAutospacing="1" w:line="240" w:lineRule="auto"/>
        <w:ind w:left="1080"/>
        <w:rPr>
          <w:rFonts w:asciiTheme="majorHAnsi" w:hAnsiTheme="majorHAnsi" w:cstheme="majorHAnsi"/>
          <w:sz w:val="24"/>
          <w:szCs w:val="24"/>
        </w:rPr>
      </w:pPr>
    </w:p>
    <w:p w14:paraId="68CD748F" w14:textId="6A356F5B" w:rsidR="005909CB" w:rsidRPr="00B07EFD" w:rsidRDefault="006C2AC9" w:rsidP="00AF1B18">
      <w:pPr>
        <w:pStyle w:val="ListParagraph"/>
        <w:spacing w:before="100" w:beforeAutospacing="1" w:after="100" w:afterAutospacing="1" w:line="240" w:lineRule="auto"/>
        <w:ind w:left="1080"/>
        <w:rPr>
          <w:rFonts w:asciiTheme="majorHAnsi" w:hAnsiTheme="majorHAnsi" w:cstheme="majorHAnsi"/>
          <w:color w:val="FF0000"/>
          <w:sz w:val="24"/>
          <w:szCs w:val="24"/>
        </w:rPr>
      </w:pPr>
      <w:r w:rsidRPr="00B07EFD">
        <w:rPr>
          <w:rFonts w:asciiTheme="majorHAnsi" w:hAnsiTheme="majorHAnsi" w:cstheme="majorHAnsi"/>
          <w:b/>
          <w:sz w:val="24"/>
          <w:szCs w:val="24"/>
        </w:rPr>
        <w:t xml:space="preserve">Response: </w:t>
      </w:r>
      <w:r w:rsidR="005F04A7" w:rsidRPr="00B07EFD">
        <w:rPr>
          <w:rFonts w:asciiTheme="majorHAnsi" w:hAnsiTheme="majorHAnsi" w:cstheme="majorHAnsi"/>
          <w:sz w:val="24"/>
          <w:szCs w:val="24"/>
        </w:rPr>
        <w:t xml:space="preserve"> </w:t>
      </w:r>
      <w:r w:rsidR="00D51C7E" w:rsidRPr="00B07EFD">
        <w:rPr>
          <w:rFonts w:asciiTheme="majorHAnsi" w:hAnsiTheme="majorHAnsi" w:cstheme="majorHAnsi"/>
          <w:sz w:val="24"/>
          <w:szCs w:val="24"/>
        </w:rPr>
        <w:t xml:space="preserve">Language </w:t>
      </w:r>
      <w:proofErr w:type="gramStart"/>
      <w:r w:rsidR="00D51C7E" w:rsidRPr="00B07EFD">
        <w:rPr>
          <w:rFonts w:asciiTheme="majorHAnsi" w:hAnsiTheme="majorHAnsi" w:cstheme="majorHAnsi"/>
          <w:sz w:val="24"/>
          <w:szCs w:val="24"/>
        </w:rPr>
        <w:t>has been added</w:t>
      </w:r>
      <w:proofErr w:type="gramEnd"/>
      <w:r w:rsidR="00D51C7E" w:rsidRPr="00B07EFD">
        <w:rPr>
          <w:rFonts w:asciiTheme="majorHAnsi" w:hAnsiTheme="majorHAnsi" w:cstheme="majorHAnsi"/>
          <w:sz w:val="24"/>
          <w:szCs w:val="24"/>
        </w:rPr>
        <w:t xml:space="preserve"> to include </w:t>
      </w:r>
      <w:r w:rsidR="00772127">
        <w:rPr>
          <w:rFonts w:asciiTheme="majorHAnsi" w:hAnsiTheme="majorHAnsi" w:cstheme="majorHAnsi"/>
          <w:sz w:val="24"/>
          <w:szCs w:val="24"/>
        </w:rPr>
        <w:t>“</w:t>
      </w:r>
      <w:r w:rsidR="00D51C7E" w:rsidRPr="00B07EFD">
        <w:rPr>
          <w:rFonts w:asciiTheme="majorHAnsi" w:eastAsia="Times New Roman" w:hAnsiTheme="majorHAnsi" w:cstheme="majorHAnsi"/>
          <w:color w:val="676767"/>
          <w:sz w:val="24"/>
          <w:szCs w:val="24"/>
        </w:rPr>
        <w:t xml:space="preserve">The order related to the QRTP </w:t>
      </w:r>
      <w:bookmarkStart w:id="0" w:name="_GoBack"/>
      <w:bookmarkEnd w:id="0"/>
      <w:r w:rsidR="00D51C7E" w:rsidRPr="00B07EFD">
        <w:rPr>
          <w:rFonts w:asciiTheme="majorHAnsi" w:eastAsia="Times New Roman" w:hAnsiTheme="majorHAnsi" w:cstheme="majorHAnsi"/>
          <w:color w:val="676767"/>
          <w:sz w:val="24"/>
          <w:szCs w:val="24"/>
        </w:rPr>
        <w:t>determination must be signed</w:t>
      </w:r>
      <w:r w:rsidR="00B07EFD" w:rsidRPr="00B07EFD">
        <w:rPr>
          <w:rFonts w:asciiTheme="majorHAnsi" w:eastAsia="Times New Roman" w:hAnsiTheme="majorHAnsi" w:cstheme="majorHAnsi"/>
          <w:color w:val="676767"/>
          <w:sz w:val="24"/>
          <w:szCs w:val="24"/>
        </w:rPr>
        <w:t>,</w:t>
      </w:r>
      <w:r w:rsidR="00D51C7E" w:rsidRPr="00B07EFD">
        <w:rPr>
          <w:rFonts w:asciiTheme="majorHAnsi" w:eastAsia="Times New Roman" w:hAnsiTheme="majorHAnsi" w:cstheme="majorHAnsi"/>
          <w:color w:val="676767"/>
          <w:sz w:val="24"/>
          <w:szCs w:val="24"/>
        </w:rPr>
        <w:t xml:space="preserve"> </w:t>
      </w:r>
      <w:r w:rsidR="00D51C7E" w:rsidRPr="00B07EFD">
        <w:rPr>
          <w:rFonts w:asciiTheme="majorHAnsi" w:eastAsia="Times New Roman" w:hAnsiTheme="majorHAnsi" w:cstheme="majorHAnsi"/>
          <w:b/>
          <w:color w:val="FF0000"/>
          <w:sz w:val="24"/>
          <w:szCs w:val="24"/>
        </w:rPr>
        <w:t>and</w:t>
      </w:r>
      <w:r w:rsidR="00D51C7E" w:rsidRPr="00B07EFD">
        <w:rPr>
          <w:rFonts w:asciiTheme="majorHAnsi" w:eastAsia="Times New Roman" w:hAnsiTheme="majorHAnsi" w:cstheme="majorHAnsi"/>
          <w:color w:val="676767"/>
          <w:sz w:val="24"/>
          <w:szCs w:val="24"/>
        </w:rPr>
        <w:t xml:space="preserve"> dated</w:t>
      </w:r>
      <w:r w:rsidR="00B07EFD" w:rsidRPr="00B07EFD">
        <w:rPr>
          <w:rFonts w:asciiTheme="majorHAnsi" w:eastAsia="Times New Roman" w:hAnsiTheme="majorHAnsi" w:cstheme="majorHAnsi"/>
          <w:color w:val="676767"/>
          <w:sz w:val="24"/>
          <w:szCs w:val="24"/>
        </w:rPr>
        <w:t xml:space="preserve"> </w:t>
      </w:r>
      <w:r w:rsidR="00B045FA" w:rsidRPr="00B045FA">
        <w:rPr>
          <w:rFonts w:asciiTheme="majorHAnsi" w:eastAsia="Times New Roman" w:hAnsiTheme="majorHAnsi" w:cstheme="majorHAnsi"/>
          <w:b/>
          <w:color w:val="FF0000"/>
          <w:sz w:val="24"/>
          <w:szCs w:val="24"/>
        </w:rPr>
        <w:t>by the judge</w:t>
      </w:r>
      <w:r w:rsidR="00B045FA" w:rsidRPr="00B045FA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</w:t>
      </w:r>
      <w:r w:rsidR="00D51C7E" w:rsidRPr="00B07EFD">
        <w:rPr>
          <w:rFonts w:asciiTheme="majorHAnsi" w:eastAsia="Times New Roman" w:hAnsiTheme="majorHAnsi" w:cstheme="majorHAnsi"/>
          <w:b/>
          <w:color w:val="FF0000"/>
          <w:sz w:val="24"/>
          <w:szCs w:val="24"/>
        </w:rPr>
        <w:t xml:space="preserve">on the AOC DNA-16 </w:t>
      </w:r>
      <w:r w:rsidR="00D51C7E" w:rsidRPr="00B07EFD">
        <w:rPr>
          <w:rFonts w:asciiTheme="majorHAnsi" w:eastAsia="Times New Roman" w:hAnsiTheme="majorHAnsi" w:cstheme="majorHAnsi"/>
          <w:color w:val="676767"/>
          <w:sz w:val="24"/>
          <w:szCs w:val="24"/>
        </w:rPr>
        <w:t xml:space="preserve">within sixty (60) calendar days </w:t>
      </w:r>
      <w:r w:rsidR="00D51C7E" w:rsidRPr="00B07EFD">
        <w:rPr>
          <w:rFonts w:asciiTheme="majorHAnsi" w:eastAsia="Times New Roman" w:hAnsiTheme="majorHAnsi" w:cstheme="majorHAnsi"/>
          <w:b/>
          <w:color w:val="FF0000"/>
          <w:sz w:val="24"/>
          <w:szCs w:val="24"/>
        </w:rPr>
        <w:t>of QRTP placement</w:t>
      </w:r>
      <w:r w:rsidR="00D51C7E" w:rsidRPr="00B07EFD">
        <w:rPr>
          <w:rFonts w:asciiTheme="majorHAnsi" w:eastAsia="Times New Roman" w:hAnsiTheme="majorHAnsi" w:cstheme="majorHAnsi"/>
          <w:color w:val="676767"/>
          <w:sz w:val="24"/>
          <w:szCs w:val="24"/>
        </w:rPr>
        <w:t>.</w:t>
      </w:r>
      <w:r w:rsidR="00772127">
        <w:rPr>
          <w:rFonts w:asciiTheme="majorHAnsi" w:eastAsia="Times New Roman" w:hAnsiTheme="majorHAnsi" w:cstheme="majorHAnsi"/>
          <w:color w:val="676767"/>
          <w:sz w:val="24"/>
          <w:szCs w:val="24"/>
        </w:rPr>
        <w:t>”</w:t>
      </w:r>
    </w:p>
    <w:p w14:paraId="7F913512" w14:textId="00ADDD58" w:rsidR="00AF1B18" w:rsidRPr="00B07EFD" w:rsidRDefault="00AF1B18" w:rsidP="00AF1B18">
      <w:pPr>
        <w:pStyle w:val="ListParagraph"/>
        <w:spacing w:before="100" w:beforeAutospacing="1" w:after="100" w:afterAutospacing="1" w:line="240" w:lineRule="auto"/>
        <w:ind w:left="1080"/>
        <w:rPr>
          <w:rFonts w:asciiTheme="majorHAnsi" w:hAnsiTheme="majorHAnsi" w:cstheme="majorHAnsi"/>
          <w:color w:val="FF0000"/>
          <w:sz w:val="24"/>
          <w:szCs w:val="24"/>
        </w:rPr>
      </w:pPr>
    </w:p>
    <w:p w14:paraId="29112627" w14:textId="77058DA1" w:rsidR="00AF1B18" w:rsidRPr="00B07EFD" w:rsidRDefault="00AF1B18" w:rsidP="00AF1B18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Theme="majorHAnsi" w:hAnsiTheme="majorHAnsi" w:cstheme="majorHAnsi"/>
          <w:iCs/>
          <w:sz w:val="24"/>
          <w:szCs w:val="24"/>
        </w:rPr>
      </w:pPr>
      <w:r w:rsidRPr="00B07EFD">
        <w:rPr>
          <w:rFonts w:asciiTheme="majorHAnsi" w:hAnsiTheme="majorHAnsi" w:cstheme="majorHAnsi"/>
          <w:b/>
          <w:iCs/>
          <w:sz w:val="24"/>
          <w:szCs w:val="24"/>
        </w:rPr>
        <w:t xml:space="preserve">Comment:   </w:t>
      </w:r>
      <w:r w:rsidRPr="00B07EFD">
        <w:rPr>
          <w:rFonts w:asciiTheme="majorHAnsi" w:hAnsiTheme="majorHAnsi" w:cstheme="majorHAnsi"/>
          <w:iCs/>
          <w:sz w:val="24"/>
          <w:szCs w:val="24"/>
        </w:rPr>
        <w:t>On the QRTP memo, add a Through line at the top of who the memo is sent through in RO (For us, it’d be adding a line that it goes through us as the OOHC SSS)</w:t>
      </w:r>
    </w:p>
    <w:p w14:paraId="7DA1C626" w14:textId="521B4DDB" w:rsidR="00AF1B18" w:rsidRPr="00B07EFD" w:rsidRDefault="00AF1B18" w:rsidP="00AF1B18">
      <w:pPr>
        <w:spacing w:before="100" w:beforeAutospacing="1" w:after="100" w:afterAutospacing="1" w:line="240" w:lineRule="auto"/>
        <w:ind w:left="1080"/>
        <w:rPr>
          <w:rFonts w:asciiTheme="majorHAnsi" w:hAnsiTheme="majorHAnsi" w:cstheme="majorHAnsi"/>
          <w:b/>
          <w:iCs/>
          <w:sz w:val="24"/>
          <w:szCs w:val="24"/>
        </w:rPr>
      </w:pPr>
      <w:r w:rsidRPr="00B07EFD">
        <w:rPr>
          <w:rFonts w:asciiTheme="majorHAnsi" w:hAnsiTheme="majorHAnsi" w:cstheme="majorHAnsi"/>
          <w:b/>
          <w:iCs/>
          <w:sz w:val="24"/>
          <w:szCs w:val="24"/>
        </w:rPr>
        <w:t xml:space="preserve">Response: </w:t>
      </w:r>
      <w:r w:rsidR="008B5257" w:rsidRPr="00B07EFD">
        <w:rPr>
          <w:rFonts w:asciiTheme="majorHAnsi" w:hAnsiTheme="majorHAnsi" w:cstheme="majorHAnsi"/>
          <w:iCs/>
          <w:sz w:val="24"/>
          <w:szCs w:val="24"/>
        </w:rPr>
        <w:t>Regions may decide their chain of command for these exception memos</w:t>
      </w:r>
      <w:r w:rsidR="006A03B1" w:rsidRPr="00B07EFD">
        <w:rPr>
          <w:rFonts w:asciiTheme="majorHAnsi" w:hAnsiTheme="majorHAnsi" w:cstheme="majorHAnsi"/>
          <w:iCs/>
          <w:sz w:val="24"/>
          <w:szCs w:val="24"/>
        </w:rPr>
        <w:t>.</w:t>
      </w:r>
      <w:r w:rsidR="00772127">
        <w:rPr>
          <w:rFonts w:asciiTheme="majorHAnsi" w:hAnsiTheme="majorHAnsi" w:cstheme="majorHAnsi"/>
          <w:iCs/>
          <w:sz w:val="24"/>
          <w:szCs w:val="24"/>
        </w:rPr>
        <w:t xml:space="preserve"> </w:t>
      </w:r>
      <w:r w:rsidR="006A03B1" w:rsidRPr="00B07EFD">
        <w:rPr>
          <w:rFonts w:asciiTheme="majorHAnsi" w:hAnsiTheme="majorHAnsi" w:cstheme="majorHAnsi"/>
          <w:iCs/>
          <w:sz w:val="24"/>
          <w:szCs w:val="24"/>
        </w:rPr>
        <w:t xml:space="preserve"> </w:t>
      </w:r>
      <w:r w:rsidR="008B5257" w:rsidRPr="00B07EFD">
        <w:rPr>
          <w:rFonts w:asciiTheme="majorHAnsi" w:hAnsiTheme="majorHAnsi" w:cstheme="majorHAnsi"/>
          <w:iCs/>
          <w:sz w:val="24"/>
          <w:szCs w:val="24"/>
        </w:rPr>
        <w:t>Each region has identified their own process for these memos, and may add staff to match this flow</w:t>
      </w:r>
      <w:r w:rsidR="00B07EFD" w:rsidRPr="00B07EFD">
        <w:rPr>
          <w:rFonts w:asciiTheme="majorHAnsi" w:hAnsiTheme="majorHAnsi" w:cstheme="majorHAnsi"/>
          <w:iCs/>
          <w:sz w:val="24"/>
          <w:szCs w:val="24"/>
        </w:rPr>
        <w:t xml:space="preserve">.  </w:t>
      </w:r>
      <w:r w:rsidR="008B5257" w:rsidRPr="00B07EFD">
        <w:rPr>
          <w:rFonts w:asciiTheme="majorHAnsi" w:hAnsiTheme="majorHAnsi" w:cstheme="majorHAnsi"/>
          <w:iCs/>
          <w:sz w:val="24"/>
          <w:szCs w:val="24"/>
        </w:rPr>
        <w:t>The flow on the central office side is fixed.</w:t>
      </w:r>
    </w:p>
    <w:p w14:paraId="2508A34C" w14:textId="1BD75F5E" w:rsidR="005F6547" w:rsidRPr="00B07EFD" w:rsidRDefault="005F6547" w:rsidP="005F6547">
      <w:pPr>
        <w:spacing w:before="100" w:beforeAutospacing="1" w:after="100" w:afterAutospacing="1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58AB3E1C" w14:textId="2D82685E" w:rsidR="005F6547" w:rsidRPr="00B07EFD" w:rsidRDefault="005F6547" w:rsidP="005F6547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B07EFD">
        <w:rPr>
          <w:rFonts w:asciiTheme="majorHAnsi" w:hAnsiTheme="majorHAnsi" w:cstheme="majorHAnsi"/>
          <w:b/>
          <w:sz w:val="24"/>
          <w:szCs w:val="24"/>
        </w:rPr>
        <w:t xml:space="preserve">Comment:  </w:t>
      </w:r>
      <w:r w:rsidRPr="00B07EFD">
        <w:rPr>
          <w:rFonts w:asciiTheme="majorHAnsi" w:hAnsiTheme="majorHAnsi" w:cstheme="majorHAnsi"/>
          <w:sz w:val="24"/>
          <w:szCs w:val="24"/>
        </w:rPr>
        <w:t xml:space="preserve">Ten days after 60 day hearing may not be enough time to get the </w:t>
      </w:r>
      <w:proofErr w:type="spellStart"/>
      <w:r w:rsidRPr="00B07EFD">
        <w:rPr>
          <w:rFonts w:asciiTheme="majorHAnsi" w:hAnsiTheme="majorHAnsi" w:cstheme="majorHAnsi"/>
          <w:sz w:val="24"/>
          <w:szCs w:val="24"/>
        </w:rPr>
        <w:t>judges</w:t>
      </w:r>
      <w:proofErr w:type="spellEnd"/>
      <w:r w:rsidRPr="00B07EFD">
        <w:rPr>
          <w:rFonts w:asciiTheme="majorHAnsi" w:hAnsiTheme="majorHAnsi" w:cstheme="majorHAnsi"/>
          <w:sz w:val="24"/>
          <w:szCs w:val="24"/>
        </w:rPr>
        <w:t xml:space="preserve"> order in</w:t>
      </w:r>
      <w:r w:rsidR="00B07EFD" w:rsidRPr="00B07EFD">
        <w:rPr>
          <w:rFonts w:asciiTheme="majorHAnsi" w:hAnsiTheme="majorHAnsi" w:cstheme="majorHAnsi"/>
          <w:sz w:val="24"/>
          <w:szCs w:val="24"/>
        </w:rPr>
        <w:t xml:space="preserve">.  </w:t>
      </w:r>
      <w:r w:rsidRPr="00B07EFD">
        <w:rPr>
          <w:rFonts w:asciiTheme="majorHAnsi" w:hAnsiTheme="majorHAnsi" w:cstheme="majorHAnsi"/>
          <w:sz w:val="24"/>
          <w:szCs w:val="24"/>
        </w:rPr>
        <w:t xml:space="preserve">Sometimes, court orders </w:t>
      </w:r>
      <w:proofErr w:type="gramStart"/>
      <w:r w:rsidRPr="00B07EFD">
        <w:rPr>
          <w:rFonts w:asciiTheme="majorHAnsi" w:hAnsiTheme="majorHAnsi" w:cstheme="majorHAnsi"/>
          <w:sz w:val="24"/>
          <w:szCs w:val="24"/>
        </w:rPr>
        <w:t>don’t</w:t>
      </w:r>
      <w:proofErr w:type="gramEnd"/>
      <w:r w:rsidRPr="00B07EFD">
        <w:rPr>
          <w:rFonts w:asciiTheme="majorHAnsi" w:hAnsiTheme="majorHAnsi" w:cstheme="majorHAnsi"/>
          <w:sz w:val="24"/>
          <w:szCs w:val="24"/>
        </w:rPr>
        <w:t xml:space="preserve"> get back to local DCBS offices within 10 days</w:t>
      </w:r>
      <w:r w:rsidR="00B07EFD" w:rsidRPr="00B07EFD">
        <w:rPr>
          <w:rFonts w:asciiTheme="majorHAnsi" w:hAnsiTheme="majorHAnsi" w:cstheme="majorHAnsi"/>
          <w:sz w:val="24"/>
          <w:szCs w:val="24"/>
        </w:rPr>
        <w:t xml:space="preserve">.  </w:t>
      </w:r>
      <w:r w:rsidRPr="00B07EFD">
        <w:rPr>
          <w:rFonts w:asciiTheme="majorHAnsi" w:hAnsiTheme="majorHAnsi" w:cstheme="majorHAnsi"/>
          <w:sz w:val="24"/>
          <w:szCs w:val="24"/>
        </w:rPr>
        <w:t>Can we make it with in 15 or 30 to ensure we have enough time</w:t>
      </w:r>
      <w:r w:rsidRPr="00B07EFD">
        <w:rPr>
          <w:rFonts w:asciiTheme="majorHAnsi" w:hAnsiTheme="majorHAnsi" w:cstheme="majorHAnsi"/>
          <w:b/>
          <w:sz w:val="24"/>
          <w:szCs w:val="24"/>
        </w:rPr>
        <w:t>? </w:t>
      </w:r>
    </w:p>
    <w:p w14:paraId="307269C6" w14:textId="3D9A0468" w:rsidR="005F6547" w:rsidRPr="00B07EFD" w:rsidRDefault="005F6547" w:rsidP="005F6547">
      <w:pPr>
        <w:pStyle w:val="ListParagraph"/>
        <w:spacing w:before="100" w:beforeAutospacing="1" w:after="100" w:afterAutospacing="1" w:line="240" w:lineRule="auto"/>
        <w:ind w:left="1080"/>
        <w:rPr>
          <w:rFonts w:asciiTheme="majorHAnsi" w:hAnsiTheme="majorHAnsi" w:cstheme="majorHAnsi"/>
          <w:b/>
          <w:sz w:val="24"/>
          <w:szCs w:val="24"/>
        </w:rPr>
      </w:pPr>
    </w:p>
    <w:p w14:paraId="58A7DDC6" w14:textId="3AF3E686" w:rsidR="005F6547" w:rsidRPr="00B07EFD" w:rsidRDefault="005F6547" w:rsidP="005F6547">
      <w:pPr>
        <w:pStyle w:val="ListParagraph"/>
        <w:spacing w:before="100" w:beforeAutospacing="1" w:after="100" w:afterAutospacing="1" w:line="240" w:lineRule="auto"/>
        <w:ind w:left="1080"/>
        <w:rPr>
          <w:rFonts w:asciiTheme="majorHAnsi" w:hAnsiTheme="majorHAnsi" w:cstheme="majorHAnsi"/>
          <w:b/>
          <w:sz w:val="24"/>
          <w:szCs w:val="24"/>
        </w:rPr>
      </w:pPr>
    </w:p>
    <w:p w14:paraId="39DF643E" w14:textId="34A53DA9" w:rsidR="005F6547" w:rsidRPr="00B07EFD" w:rsidRDefault="005F6547" w:rsidP="005F6547">
      <w:pPr>
        <w:pStyle w:val="ListParagraph"/>
        <w:spacing w:before="100" w:beforeAutospacing="1" w:after="100" w:afterAutospacing="1" w:line="240" w:lineRule="auto"/>
        <w:ind w:left="1080"/>
        <w:rPr>
          <w:rFonts w:asciiTheme="majorHAnsi" w:hAnsiTheme="majorHAnsi" w:cstheme="majorHAnsi"/>
          <w:b/>
          <w:sz w:val="24"/>
          <w:szCs w:val="24"/>
        </w:rPr>
      </w:pPr>
      <w:r w:rsidRPr="00B07EFD">
        <w:rPr>
          <w:rFonts w:asciiTheme="majorHAnsi" w:hAnsiTheme="majorHAnsi" w:cstheme="majorHAnsi"/>
          <w:b/>
          <w:sz w:val="24"/>
          <w:szCs w:val="24"/>
        </w:rPr>
        <w:t xml:space="preserve">Response:  </w:t>
      </w:r>
      <w:r w:rsidR="00AF6638" w:rsidRPr="00B07EFD">
        <w:rPr>
          <w:rFonts w:asciiTheme="majorHAnsi" w:hAnsiTheme="majorHAnsi" w:cstheme="majorHAnsi"/>
          <w:sz w:val="24"/>
          <w:szCs w:val="24"/>
        </w:rPr>
        <w:t xml:space="preserve">Within 10 days, the worker should document (enter the </w:t>
      </w:r>
      <w:r w:rsidR="008B5257" w:rsidRPr="00B07EFD">
        <w:rPr>
          <w:rFonts w:asciiTheme="majorHAnsi" w:hAnsiTheme="majorHAnsi" w:cstheme="majorHAnsi"/>
          <w:sz w:val="24"/>
          <w:szCs w:val="24"/>
        </w:rPr>
        <w:t xml:space="preserve">data </w:t>
      </w:r>
      <w:r w:rsidR="00AF6638" w:rsidRPr="00B07EFD">
        <w:rPr>
          <w:rFonts w:asciiTheme="majorHAnsi" w:hAnsiTheme="majorHAnsi" w:cstheme="majorHAnsi"/>
          <w:sz w:val="24"/>
          <w:szCs w:val="24"/>
        </w:rPr>
        <w:t>fields) the date of the hearing and the judicial determination</w:t>
      </w:r>
      <w:r w:rsidR="00B07EFD" w:rsidRPr="00B07EFD">
        <w:rPr>
          <w:rFonts w:asciiTheme="majorHAnsi" w:hAnsiTheme="majorHAnsi" w:cstheme="majorHAnsi"/>
          <w:sz w:val="24"/>
          <w:szCs w:val="24"/>
        </w:rPr>
        <w:t xml:space="preserve">.  </w:t>
      </w:r>
      <w:r w:rsidR="00AF6638" w:rsidRPr="00B07EFD">
        <w:rPr>
          <w:rFonts w:asciiTheme="majorHAnsi" w:hAnsiTheme="majorHAnsi" w:cstheme="majorHAnsi"/>
          <w:sz w:val="24"/>
          <w:szCs w:val="24"/>
        </w:rPr>
        <w:t xml:space="preserve">The </w:t>
      </w:r>
      <w:r w:rsidR="006A03B1" w:rsidRPr="00B07EFD">
        <w:rPr>
          <w:rFonts w:asciiTheme="majorHAnsi" w:hAnsiTheme="majorHAnsi" w:cstheme="majorHAnsi"/>
          <w:sz w:val="24"/>
          <w:szCs w:val="24"/>
        </w:rPr>
        <w:t xml:space="preserve">documentation from the court </w:t>
      </w:r>
      <w:proofErr w:type="gramStart"/>
      <w:r w:rsidR="00AF6638" w:rsidRPr="00B07EFD">
        <w:rPr>
          <w:rFonts w:asciiTheme="majorHAnsi" w:hAnsiTheme="majorHAnsi" w:cstheme="majorHAnsi"/>
          <w:sz w:val="24"/>
          <w:szCs w:val="24"/>
        </w:rPr>
        <w:t>should be uploaded</w:t>
      </w:r>
      <w:proofErr w:type="gramEnd"/>
      <w:r w:rsidR="00AF6638" w:rsidRPr="00B07EFD">
        <w:rPr>
          <w:rFonts w:asciiTheme="majorHAnsi" w:hAnsiTheme="majorHAnsi" w:cstheme="majorHAnsi"/>
          <w:sz w:val="24"/>
          <w:szCs w:val="24"/>
        </w:rPr>
        <w:t xml:space="preserve"> upon receipt.</w:t>
      </w:r>
      <w:r w:rsidR="00AF6638" w:rsidRPr="00B07EFD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sectPr w:rsidR="005F6547" w:rsidRPr="00B07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6726"/>
    <w:multiLevelType w:val="multilevel"/>
    <w:tmpl w:val="4C420990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hint="default"/>
      </w:rPr>
    </w:lvl>
  </w:abstractNum>
  <w:abstractNum w:abstractNumId="1" w15:restartNumberingAfterBreak="0">
    <w:nsid w:val="0970474A"/>
    <w:multiLevelType w:val="hybridMultilevel"/>
    <w:tmpl w:val="5D7CF3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DB44FF"/>
    <w:multiLevelType w:val="hybridMultilevel"/>
    <w:tmpl w:val="700E69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15087C"/>
    <w:multiLevelType w:val="multilevel"/>
    <w:tmpl w:val="3D4878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F17612"/>
    <w:multiLevelType w:val="hybridMultilevel"/>
    <w:tmpl w:val="E9C0F3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812D4D"/>
    <w:multiLevelType w:val="multilevel"/>
    <w:tmpl w:val="C9381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D61D54"/>
    <w:multiLevelType w:val="hybridMultilevel"/>
    <w:tmpl w:val="97D8B7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CB2530"/>
    <w:multiLevelType w:val="multilevel"/>
    <w:tmpl w:val="9A4E3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31554C"/>
    <w:multiLevelType w:val="hybridMultilevel"/>
    <w:tmpl w:val="22DC93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0D2D8F"/>
    <w:multiLevelType w:val="hybridMultilevel"/>
    <w:tmpl w:val="029A4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D71ED"/>
    <w:multiLevelType w:val="multilevel"/>
    <w:tmpl w:val="C1125C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 w15:restartNumberingAfterBreak="0">
    <w:nsid w:val="3DCA3B5A"/>
    <w:multiLevelType w:val="hybridMultilevel"/>
    <w:tmpl w:val="43941A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E7E6BD9"/>
    <w:multiLevelType w:val="multilevel"/>
    <w:tmpl w:val="6DC0C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8E6A17"/>
    <w:multiLevelType w:val="hybridMultilevel"/>
    <w:tmpl w:val="BACCB5BC"/>
    <w:lvl w:ilvl="0" w:tplc="D056FEA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39649C"/>
    <w:multiLevelType w:val="hybridMultilevel"/>
    <w:tmpl w:val="21426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76C1959"/>
    <w:multiLevelType w:val="hybridMultilevel"/>
    <w:tmpl w:val="1C3EBB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D723221"/>
    <w:multiLevelType w:val="hybridMultilevel"/>
    <w:tmpl w:val="BACCB5BC"/>
    <w:lvl w:ilvl="0" w:tplc="D056FEA0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93525B"/>
    <w:multiLevelType w:val="hybridMultilevel"/>
    <w:tmpl w:val="67825E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7244C2"/>
    <w:multiLevelType w:val="multilevel"/>
    <w:tmpl w:val="0554D7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FE4E8A"/>
    <w:multiLevelType w:val="multilevel"/>
    <w:tmpl w:val="B98602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16"/>
  </w:num>
  <w:num w:numId="2">
    <w:abstractNumId w:val="18"/>
  </w:num>
  <w:num w:numId="3">
    <w:abstractNumId w:val="1"/>
  </w:num>
  <w:num w:numId="4">
    <w:abstractNumId w:val="11"/>
  </w:num>
  <w:num w:numId="5">
    <w:abstractNumId w:val="6"/>
  </w:num>
  <w:num w:numId="6">
    <w:abstractNumId w:val="9"/>
  </w:num>
  <w:num w:numId="7">
    <w:abstractNumId w:val="14"/>
  </w:num>
  <w:num w:numId="8">
    <w:abstractNumId w:val="3"/>
  </w:num>
  <w:num w:numId="9">
    <w:abstractNumId w:val="5"/>
  </w:num>
  <w:num w:numId="10">
    <w:abstractNumId w:val="12"/>
  </w:num>
  <w:num w:numId="11">
    <w:abstractNumId w:val="8"/>
  </w:num>
  <w:num w:numId="12">
    <w:abstractNumId w:val="19"/>
  </w:num>
  <w:num w:numId="13">
    <w:abstractNumId w:val="17"/>
  </w:num>
  <w:num w:numId="14">
    <w:abstractNumId w:val="1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0"/>
  </w:num>
  <w:num w:numId="18">
    <w:abstractNumId w:val="4"/>
  </w:num>
  <w:num w:numId="19">
    <w:abstractNumId w:val="15"/>
  </w:num>
  <w:num w:numId="2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yNjQyNTExNDUzNzdS0lEKTi0uzszPAykwsqgFADJ4AhQtAAAA"/>
  </w:docVars>
  <w:rsids>
    <w:rsidRoot w:val="004A49AB"/>
    <w:rsid w:val="00005640"/>
    <w:rsid w:val="000221AC"/>
    <w:rsid w:val="00053CFF"/>
    <w:rsid w:val="000623AD"/>
    <w:rsid w:val="000F69DE"/>
    <w:rsid w:val="00101C8C"/>
    <w:rsid w:val="00105BB0"/>
    <w:rsid w:val="001517FE"/>
    <w:rsid w:val="00192F41"/>
    <w:rsid w:val="001A2A62"/>
    <w:rsid w:val="001C3183"/>
    <w:rsid w:val="001D2536"/>
    <w:rsid w:val="001F3CDF"/>
    <w:rsid w:val="001F41C5"/>
    <w:rsid w:val="001F5873"/>
    <w:rsid w:val="00207745"/>
    <w:rsid w:val="00251039"/>
    <w:rsid w:val="0026086A"/>
    <w:rsid w:val="002869E9"/>
    <w:rsid w:val="00286D7F"/>
    <w:rsid w:val="002B762F"/>
    <w:rsid w:val="002F63DC"/>
    <w:rsid w:val="00331929"/>
    <w:rsid w:val="00342CEA"/>
    <w:rsid w:val="003437BB"/>
    <w:rsid w:val="003455A2"/>
    <w:rsid w:val="003609F1"/>
    <w:rsid w:val="00362E1A"/>
    <w:rsid w:val="00371EBD"/>
    <w:rsid w:val="00376BCC"/>
    <w:rsid w:val="003A615A"/>
    <w:rsid w:val="003D39A4"/>
    <w:rsid w:val="004007D1"/>
    <w:rsid w:val="00420EDC"/>
    <w:rsid w:val="0045550B"/>
    <w:rsid w:val="004766E5"/>
    <w:rsid w:val="004A07B6"/>
    <w:rsid w:val="004A49AB"/>
    <w:rsid w:val="004B0CDE"/>
    <w:rsid w:val="004D4B7E"/>
    <w:rsid w:val="004E10F3"/>
    <w:rsid w:val="004E3B69"/>
    <w:rsid w:val="004F3EC9"/>
    <w:rsid w:val="00521B70"/>
    <w:rsid w:val="00550A03"/>
    <w:rsid w:val="0057517A"/>
    <w:rsid w:val="00583CFB"/>
    <w:rsid w:val="005909CB"/>
    <w:rsid w:val="0059218F"/>
    <w:rsid w:val="005974C4"/>
    <w:rsid w:val="005A4E87"/>
    <w:rsid w:val="005B09C9"/>
    <w:rsid w:val="005B7E1E"/>
    <w:rsid w:val="005D51E1"/>
    <w:rsid w:val="005F04A7"/>
    <w:rsid w:val="005F21CC"/>
    <w:rsid w:val="005F6547"/>
    <w:rsid w:val="006242CB"/>
    <w:rsid w:val="00641F3C"/>
    <w:rsid w:val="00653494"/>
    <w:rsid w:val="00666CA6"/>
    <w:rsid w:val="006A03B1"/>
    <w:rsid w:val="006C19BA"/>
    <w:rsid w:val="006C2AC9"/>
    <w:rsid w:val="006C70C9"/>
    <w:rsid w:val="00702A22"/>
    <w:rsid w:val="00704D33"/>
    <w:rsid w:val="00716182"/>
    <w:rsid w:val="007442FC"/>
    <w:rsid w:val="0075574A"/>
    <w:rsid w:val="00765911"/>
    <w:rsid w:val="00772127"/>
    <w:rsid w:val="0077599D"/>
    <w:rsid w:val="00780DD9"/>
    <w:rsid w:val="007946B1"/>
    <w:rsid w:val="007B5F03"/>
    <w:rsid w:val="007F4A3C"/>
    <w:rsid w:val="008020CB"/>
    <w:rsid w:val="00805A91"/>
    <w:rsid w:val="008366DB"/>
    <w:rsid w:val="00875C52"/>
    <w:rsid w:val="00882EEE"/>
    <w:rsid w:val="008B5257"/>
    <w:rsid w:val="009979E6"/>
    <w:rsid w:val="009D5122"/>
    <w:rsid w:val="009F3579"/>
    <w:rsid w:val="00A00E14"/>
    <w:rsid w:val="00A06021"/>
    <w:rsid w:val="00A07BBC"/>
    <w:rsid w:val="00A174A4"/>
    <w:rsid w:val="00A20E2B"/>
    <w:rsid w:val="00A34260"/>
    <w:rsid w:val="00A56E8E"/>
    <w:rsid w:val="00A8339D"/>
    <w:rsid w:val="00A95674"/>
    <w:rsid w:val="00AD2B2D"/>
    <w:rsid w:val="00AF1B18"/>
    <w:rsid w:val="00AF6638"/>
    <w:rsid w:val="00B02761"/>
    <w:rsid w:val="00B045FA"/>
    <w:rsid w:val="00B07426"/>
    <w:rsid w:val="00B07EFD"/>
    <w:rsid w:val="00B32FC5"/>
    <w:rsid w:val="00B33500"/>
    <w:rsid w:val="00B5321A"/>
    <w:rsid w:val="00B765F4"/>
    <w:rsid w:val="00B84D3A"/>
    <w:rsid w:val="00B92FB2"/>
    <w:rsid w:val="00B9565D"/>
    <w:rsid w:val="00BC536E"/>
    <w:rsid w:val="00C02D42"/>
    <w:rsid w:val="00C03A1D"/>
    <w:rsid w:val="00C20D48"/>
    <w:rsid w:val="00C33AA7"/>
    <w:rsid w:val="00C36739"/>
    <w:rsid w:val="00C44A31"/>
    <w:rsid w:val="00C576D2"/>
    <w:rsid w:val="00C65DE0"/>
    <w:rsid w:val="00C806AC"/>
    <w:rsid w:val="00CA29E6"/>
    <w:rsid w:val="00CC2B92"/>
    <w:rsid w:val="00CF5A14"/>
    <w:rsid w:val="00D51B9C"/>
    <w:rsid w:val="00D51C7E"/>
    <w:rsid w:val="00D550C6"/>
    <w:rsid w:val="00D72313"/>
    <w:rsid w:val="00D74164"/>
    <w:rsid w:val="00D81621"/>
    <w:rsid w:val="00DA6A37"/>
    <w:rsid w:val="00DB7BFF"/>
    <w:rsid w:val="00DE505F"/>
    <w:rsid w:val="00DF5C47"/>
    <w:rsid w:val="00E07F79"/>
    <w:rsid w:val="00E20049"/>
    <w:rsid w:val="00E32D46"/>
    <w:rsid w:val="00E43A4C"/>
    <w:rsid w:val="00E83947"/>
    <w:rsid w:val="00EB07E0"/>
    <w:rsid w:val="00EE1391"/>
    <w:rsid w:val="00F33A03"/>
    <w:rsid w:val="00F579E2"/>
    <w:rsid w:val="00F70A10"/>
    <w:rsid w:val="00FA43AC"/>
    <w:rsid w:val="00FC69FB"/>
    <w:rsid w:val="00FE3CA8"/>
    <w:rsid w:val="00FF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6EB05"/>
  <w15:chartTrackingRefBased/>
  <w15:docId w15:val="{8F486335-568D-4F4C-923A-7378A5E3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9A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9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21C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AA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510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0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0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0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03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65D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946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s xmlns="25652375-5976-448a-91e2-83c2698bbafa">Statement Of Consideration</Types>
    <Archived xmlns="25652375-5976-448a-91e2-83c2698bbafa">false</Archived>
    <Memo_x0020_Types xmlns="25652375-5976-448a-91e2-83c2698bbafa">PPTL</Memo_x0020_Types>
    <Document_x0020_Year xmlns="25652375-5976-448a-91e2-83c2698bbafa">2021</Document_x0020_Year>
    <rh2e xmlns="a79bd224-4819-40b2-aa9b-f8999d5b687f" xsi:nil="true"/>
    <RoutingRuleDescription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53381-1B7F-4FA0-85AA-26520BE7F4BD}"/>
</file>

<file path=customXml/itemProps2.xml><?xml version="1.0" encoding="utf-8"?>
<ds:datastoreItem xmlns:ds="http://schemas.openxmlformats.org/officeDocument/2006/customXml" ds:itemID="{F04ACE2C-E369-40E7-BA39-3CFD32E70783}">
  <ds:schemaRefs>
    <ds:schemaRef ds:uri="http://schemas.microsoft.com/office/2006/metadata/properties"/>
    <ds:schemaRef ds:uri="http://schemas.microsoft.com/office/infopath/2007/PartnerControls"/>
    <ds:schemaRef ds:uri="65b60e10-1d1f-48db-8ed9-28ba608457d0"/>
  </ds:schemaRefs>
</ds:datastoreItem>
</file>

<file path=customXml/itemProps3.xml><?xml version="1.0" encoding="utf-8"?>
<ds:datastoreItem xmlns:ds="http://schemas.openxmlformats.org/officeDocument/2006/customXml" ds:itemID="{ECE3C40F-3D51-4FFE-82AF-9280A59290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3743BA-29C5-4724-88AD-561A62AB1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PPTL 19-08 Statement of Consideration Regarding SOP Chapter 13</vt:lpstr>
    </vt:vector>
  </TitlesOfParts>
  <Company>Commonwealth of Kentucky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PPTL 21-38 Statement of Consideration for SOP 4.51.1 Placement in a Congregate Care (Residential Treatment) Setting</dc:title>
  <dc:subject/>
  <dc:creator>Cubert, Julie M (CHFS DCBS DPP)</dc:creator>
  <cp:keywords/>
  <dc:description/>
  <cp:lastModifiedBy>Cubert, Julie M (CHFS DCBS DPP)</cp:lastModifiedBy>
  <cp:revision>3</cp:revision>
  <cp:lastPrinted>2019-07-17T17:01:00Z</cp:lastPrinted>
  <dcterms:created xsi:type="dcterms:W3CDTF">2021-09-07T19:36:00Z</dcterms:created>
  <dcterms:modified xsi:type="dcterms:W3CDTF">2021-09-07T19:54:00Z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